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0" w:rsidRPr="00C93A52" w:rsidRDefault="00227010" w:rsidP="005038B4">
      <w:pPr>
        <w:tabs>
          <w:tab w:val="left" w:pos="216"/>
        </w:tabs>
        <w:spacing w:after="0" w:line="240" w:lineRule="auto"/>
        <w:ind w:left="70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  <w:r w:rsidRPr="00C93A52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>VALIDACIÓN DE LA TABLA DE APLICABILIDAD DE LAS OBLIGACIONES DE TRANSPARENCIA COMUNES DEL PODER EJECUTIVO.</w:t>
      </w:r>
    </w:p>
    <w:p w:rsidR="006B091C" w:rsidRPr="00C93A52" w:rsidRDefault="00CE388B" w:rsidP="005038B4">
      <w:pPr>
        <w:tabs>
          <w:tab w:val="left" w:pos="216"/>
        </w:tabs>
        <w:spacing w:after="0" w:line="240" w:lineRule="auto"/>
        <w:ind w:left="70" w:firstLine="1064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  <w:r w:rsidRPr="00C93A52"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  <w:t xml:space="preserve">DEPENDENCIA O ENTIDAD: </w:t>
      </w:r>
      <w:r w:rsidR="00BC0E33" w:rsidRPr="00C93A52">
        <w:rPr>
          <w:rFonts w:ascii="Helvetica" w:eastAsia="Times New Roman" w:hAnsi="Helvetica" w:cs="Helvetica"/>
          <w:bCs/>
          <w:sz w:val="18"/>
          <w:szCs w:val="18"/>
          <w:lang w:eastAsia="es-MX"/>
        </w:rPr>
        <w:t>Comisión Estatal Forestal.</w:t>
      </w:r>
    </w:p>
    <w:p w:rsidR="00E709CC" w:rsidRPr="00C93A52" w:rsidRDefault="00E709CC" w:rsidP="005038B4">
      <w:pPr>
        <w:tabs>
          <w:tab w:val="left" w:pos="1223"/>
        </w:tabs>
        <w:spacing w:after="0" w:line="240" w:lineRule="auto"/>
        <w:ind w:left="70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</w:p>
    <w:p w:rsidR="00E709CC" w:rsidRPr="00C93A52" w:rsidRDefault="00E709CC" w:rsidP="005038B4">
      <w:pPr>
        <w:tabs>
          <w:tab w:val="left" w:pos="1223"/>
        </w:tabs>
        <w:spacing w:after="0" w:line="240" w:lineRule="auto"/>
        <w:ind w:left="70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</w:p>
    <w:tbl>
      <w:tblPr>
        <w:tblStyle w:val="Tablaconcuadrcula"/>
        <w:tblW w:w="3500" w:type="pct"/>
        <w:tblInd w:w="2053" w:type="dxa"/>
        <w:tblLook w:val="04A0" w:firstRow="1" w:lastRow="0" w:firstColumn="1" w:lastColumn="0" w:noHBand="0" w:noVBand="1"/>
      </w:tblPr>
      <w:tblGrid>
        <w:gridCol w:w="4728"/>
        <w:gridCol w:w="4924"/>
      </w:tblGrid>
      <w:tr w:rsidR="00C93A52" w:rsidRPr="00C93A52" w:rsidTr="00E709CC">
        <w:trPr>
          <w:trHeight w:val="377"/>
        </w:trPr>
        <w:tc>
          <w:tcPr>
            <w:tcW w:w="2449" w:type="pct"/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tabs>
                <w:tab w:val="left" w:pos="216"/>
              </w:tabs>
              <w:spacing w:after="0" w:line="240" w:lineRule="auto"/>
              <w:ind w:left="7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Tipo de Sujeto obligado:</w:t>
            </w:r>
          </w:p>
        </w:tc>
        <w:tc>
          <w:tcPr>
            <w:tcW w:w="2551" w:type="pct"/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tabs>
                <w:tab w:val="left" w:pos="216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Documento de origen:</w:t>
            </w:r>
          </w:p>
        </w:tc>
      </w:tr>
      <w:tr w:rsidR="00C93A52" w:rsidRPr="00C93A52" w:rsidTr="00E709CC">
        <w:trPr>
          <w:trHeight w:val="420"/>
        </w:trPr>
        <w:tc>
          <w:tcPr>
            <w:tcW w:w="2449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Administración Centralizada</w:t>
            </w:r>
          </w:p>
        </w:tc>
        <w:tc>
          <w:tcPr>
            <w:tcW w:w="2551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93A52" w:rsidRPr="00C93A52" w:rsidTr="00E709CC">
        <w:trPr>
          <w:trHeight w:val="395"/>
        </w:trPr>
        <w:tc>
          <w:tcPr>
            <w:tcW w:w="2449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Desconcentrado</w:t>
            </w:r>
          </w:p>
        </w:tc>
        <w:tc>
          <w:tcPr>
            <w:tcW w:w="2551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93A52" w:rsidRPr="00C93A52" w:rsidTr="00E709CC">
        <w:trPr>
          <w:trHeight w:val="420"/>
        </w:trPr>
        <w:tc>
          <w:tcPr>
            <w:tcW w:w="2449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Descentralizado</w:t>
            </w:r>
          </w:p>
        </w:tc>
        <w:tc>
          <w:tcPr>
            <w:tcW w:w="2551" w:type="pct"/>
          </w:tcPr>
          <w:p w:rsidR="00227010" w:rsidRPr="00C93A52" w:rsidRDefault="00BC0E33" w:rsidP="005038B4">
            <w:pPr>
              <w:tabs>
                <w:tab w:val="left" w:pos="216"/>
              </w:tabs>
              <w:spacing w:after="0" w:line="240" w:lineRule="auto"/>
              <w:jc w:val="both"/>
              <w:rPr>
                <w:rFonts w:ascii="Helvetica" w:eastAsia="Times New Roman" w:hAnsi="Helvetica" w:cs="Helvetica"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Cs/>
                <w:sz w:val="18"/>
                <w:szCs w:val="18"/>
                <w:lang w:eastAsia="es-MX"/>
              </w:rPr>
              <w:t>Ley de Desarrollo Forestal Sustentable del Estado de Oaxaca.</w:t>
            </w:r>
          </w:p>
        </w:tc>
      </w:tr>
      <w:tr w:rsidR="00C93A52" w:rsidRPr="00C93A52" w:rsidTr="00E709CC">
        <w:trPr>
          <w:trHeight w:val="395"/>
        </w:trPr>
        <w:tc>
          <w:tcPr>
            <w:tcW w:w="2449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Empresa de Participación Estatal Mayoritaria</w:t>
            </w:r>
          </w:p>
        </w:tc>
        <w:tc>
          <w:tcPr>
            <w:tcW w:w="2551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93A52" w:rsidRPr="00C93A52" w:rsidTr="00E709CC">
        <w:trPr>
          <w:trHeight w:val="420"/>
        </w:trPr>
        <w:tc>
          <w:tcPr>
            <w:tcW w:w="2449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  <w:t>Fideicomisos, Fondos y Mandatos</w:t>
            </w:r>
          </w:p>
        </w:tc>
        <w:tc>
          <w:tcPr>
            <w:tcW w:w="2551" w:type="pct"/>
          </w:tcPr>
          <w:p w:rsidR="00227010" w:rsidRPr="00C93A52" w:rsidRDefault="00227010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93A52" w:rsidRPr="00C93A52" w:rsidTr="00E709CC">
        <w:trPr>
          <w:trHeight w:val="420"/>
        </w:trPr>
        <w:tc>
          <w:tcPr>
            <w:tcW w:w="2449" w:type="pct"/>
          </w:tcPr>
          <w:p w:rsidR="006B091C" w:rsidRPr="00C93A52" w:rsidRDefault="006B091C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551" w:type="pct"/>
          </w:tcPr>
          <w:p w:rsidR="006B091C" w:rsidRPr="00C93A52" w:rsidRDefault="006B091C" w:rsidP="005038B4">
            <w:pPr>
              <w:tabs>
                <w:tab w:val="left" w:pos="216"/>
              </w:tabs>
              <w:spacing w:after="0"/>
              <w:jc w:val="both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</w:tbl>
    <w:p w:rsidR="00E709CC" w:rsidRPr="00C93A52" w:rsidRDefault="00E709CC" w:rsidP="005038B4">
      <w:pPr>
        <w:tabs>
          <w:tab w:val="left" w:pos="216"/>
        </w:tabs>
        <w:spacing w:after="0" w:line="240" w:lineRule="auto"/>
        <w:ind w:left="70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</w:p>
    <w:p w:rsidR="006B091C" w:rsidRPr="00C93A52" w:rsidRDefault="006B091C" w:rsidP="005038B4">
      <w:pPr>
        <w:tabs>
          <w:tab w:val="left" w:pos="216"/>
        </w:tabs>
        <w:spacing w:after="0" w:line="240" w:lineRule="auto"/>
        <w:ind w:left="70"/>
        <w:jc w:val="both"/>
        <w:rPr>
          <w:rFonts w:ascii="Helvetica" w:eastAsia="Times New Roman" w:hAnsi="Helvetica" w:cs="Helvetica"/>
          <w:b/>
          <w:bCs/>
          <w:sz w:val="18"/>
          <w:szCs w:val="18"/>
          <w:lang w:eastAsia="es-MX"/>
        </w:rPr>
      </w:pPr>
    </w:p>
    <w:tbl>
      <w:tblPr>
        <w:tblW w:w="140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633"/>
        <w:gridCol w:w="934"/>
        <w:gridCol w:w="2386"/>
        <w:gridCol w:w="1512"/>
        <w:gridCol w:w="2153"/>
        <w:gridCol w:w="1678"/>
        <w:gridCol w:w="1367"/>
      </w:tblGrid>
      <w:tr w:rsidR="00C93A52" w:rsidRPr="00C93A52" w:rsidTr="00E709CC">
        <w:trPr>
          <w:trHeight w:val="889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27010" w:rsidRPr="00C93A52" w:rsidRDefault="007823B2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ARTÍ</w:t>
            </w:r>
            <w:r w:rsidR="00227010"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CULO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FRACCIÓN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APLICA/NO 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FUNDAMENTO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UNIDAD ADMINISTRATIVA RESPONSABLE DE GENERAR</w:t>
            </w:r>
            <w:r w:rsidR="00D06109"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 xml:space="preserve"> O </w:t>
            </w:r>
            <w:r w:rsidR="00D06109" w:rsidRPr="00C93A52"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  <w:lang w:eastAsia="es-MX"/>
              </w:rPr>
              <w:t>TENER</w:t>
            </w: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LA INFORMACIÓN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6"/>
                <w:szCs w:val="18"/>
                <w:lang w:eastAsia="es-MX"/>
              </w:rPr>
              <w:t>OBSERVACIONES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VALIDACIÓN IAIP</w:t>
            </w:r>
          </w:p>
        </w:tc>
      </w:tr>
      <w:tr w:rsidR="00C93A52" w:rsidRPr="00C93A52" w:rsidTr="00C93A52">
        <w:trPr>
          <w:trHeight w:val="75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D6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="009B11D6"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.</w:t>
            </w:r>
          </w:p>
          <w:p w:rsidR="009B11D6" w:rsidRPr="00C93A52" w:rsidRDefault="009B11D6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227010" w:rsidRPr="00C93A52" w:rsidRDefault="00CE388B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</w:t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lastRenderedPageBreak/>
              <w:t>de acuerdo con sus facultades, atribuciones, funciones u objeto social, según corresponda, la información, por lo menos, de los temas, documentos y políticas que a continuación se señalan: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10" w:rsidRPr="00C93A52" w:rsidRDefault="002F428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10" w:rsidRPr="00C93A52" w:rsidRDefault="00233B71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0D" w:rsidRPr="00C93A52" w:rsidRDefault="0092430D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C0E33" w:rsidRPr="00C93A52" w:rsidRDefault="00233B71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  <w:p w:rsidR="00C21BC6" w:rsidRPr="00C93A52" w:rsidRDefault="00C21BC6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10" w:rsidRPr="00C93A52" w:rsidRDefault="002F428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0" w:rsidRPr="00C93A52" w:rsidRDefault="00227010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F46828" w:rsidRPr="00C93A52" w:rsidRDefault="00F4682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F46828" w:rsidRPr="00C93A52" w:rsidRDefault="00F4682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F46828" w:rsidRPr="00C93A52" w:rsidRDefault="00F4682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F46828" w:rsidRPr="00C93A52" w:rsidRDefault="00F46828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10" w:rsidRPr="00C93A52" w:rsidRDefault="00BF6773" w:rsidP="00C93A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984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lastRenderedPageBreak/>
              <w:t>disposiciones aplicables;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50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08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indicadores relacionados con temas de interés público o trascendencia social que conforme a sus funciones, deban establecer;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87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lastRenderedPageBreak/>
              <w:t>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Aplica.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93A52" w:rsidRPr="00C93A52" w:rsidTr="00C93A52">
        <w:trPr>
          <w:trHeight w:val="2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0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3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30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Esta es una facultad de la Secretaría de Contraloría y Transparencia Gubernamental del Gobierno del Estado.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Art. 47, fracción XIV de la Ley Orgánica del Poder Ejecutivo.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Art. 43 de la Ley de Responsabilidades de los Servidores Públicos del Estado y Municipios de Oaxaca.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No se tiene el consentimiento de los Servidores Públicos para hacer pública su declaración patrimonial la información podrá ser consultada en el </w:t>
            </w:r>
            <w:proofErr w:type="spellStart"/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likn</w:t>
            </w:r>
            <w:proofErr w:type="spellEnd"/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. http://www.contraloria.oaxaca.gob.mx/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de Transparencia de la Comisión.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8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Hasta este momento no existen los procedimientos de</w:t>
            </w:r>
            <w:r w:rsidRPr="00C93A52">
              <w:rPr>
                <w:rFonts w:ascii="Helvetica" w:eastAsia="Times New Roman" w:hAnsi="Helvetica" w:cs="Helvetica"/>
                <w:iCs/>
                <w:sz w:val="18"/>
                <w:szCs w:val="18"/>
                <w:lang w:eastAsia="es-MX"/>
              </w:rPr>
              <w:t xml:space="preserve"> convocatorias a concursos para ocupar cargos públicos y los </w:t>
            </w:r>
            <w:r w:rsidRPr="00C93A52">
              <w:rPr>
                <w:rFonts w:ascii="Helvetica" w:eastAsia="Times New Roman" w:hAnsi="Helvetica" w:cs="Helvetica"/>
                <w:iCs/>
                <w:sz w:val="18"/>
                <w:szCs w:val="18"/>
                <w:lang w:eastAsia="es-MX"/>
              </w:rPr>
              <w:lastRenderedPageBreak/>
              <w:t>resultados de los mismos.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93A52" w:rsidRPr="00C93A52" w:rsidTr="00C93A52">
        <w:trPr>
          <w:trHeight w:val="15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  <w:t>.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8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3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 w:type="page"/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5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El listado de Servidores Públicos con sanciones administrativas 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definitivas, especificando la causa de sanción y la disposición;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Hasta la fecha no se tiene el listado de Servidores Públicos con sanciones administrativas 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Definitivas.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8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5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5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Este organismo no se encuentra en el catálogo de Sujetos que pueden ser entes de deuda pública.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Arts. 3, 5 y 10 de la Ley de Deuda Pública del Estado de Oaxaca.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Corresponde al Ejecutivo del Estado a través de la Secretaría de Finanzas.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Art. 12, fracción V, de la Ley de Entidades Paraestatales  del Estado de Oaxaca.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Con fundamento en el Art. 51, fracción VII, de la Ley Orgánica del Poder Ejecutivo del Estado de Oaxaca, por lo que respecta a los montos destinados a gastos relativos a comunicación social, corresponde a la Coordinación General de Comunicación Social del </w:t>
            </w: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Gobierno del Estado.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Con fundamento Art. 47, fracciones III, XXX de la Ley Orgánica del Poder Ejecutivo del Estado de Oaxaca. No es atribución de esta Entidad Paraestatal, la de generar </w:t>
            </w:r>
            <w:r w:rsidRPr="00C93A52">
              <w:rPr>
                <w:rFonts w:ascii="Helvetica" w:eastAsia="Times New Roman" w:hAnsi="Helvetica" w:cs="Helvetica"/>
                <w:iCs/>
                <w:sz w:val="18"/>
                <w:szCs w:val="18"/>
                <w:lang w:eastAsia="es-MX"/>
              </w:rPr>
              <w:t xml:space="preserve">informes de resultados de las auditorías al ejercicio presupuestal, toda vez que corresponde a la </w:t>
            </w: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Secretaría de la Contraloría y Transparencia Gubernamental del Gobierno del Estado de Oaxaca.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iCs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 la fecha no se tiene ningún Informe Detallado de Auditoria.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70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673BD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No es aplicable derivado que no se encuentra en los supuestos establecidos en el Código Fiscal de la </w:t>
            </w: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Federación</w:t>
            </w:r>
            <w:r w:rsidRPr="00C93A52">
              <w:rPr>
                <w:rFonts w:ascii="Helvetica" w:eastAsia="Times New Roman" w:hAnsi="Helvetica" w:cs="Helvetica"/>
                <w:i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Artículo 32 A del Código Fiscal de la Federación.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8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7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lastRenderedPageBreak/>
              <w:t>los contratos celebrados, que deberá contener, por lo menos, lo siguiente:…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informes que por disposición legal generen los sujetos obligados;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54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673BD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Derivado que es competencia de la Secretaria de Administración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Art.46, fracción  de la Ley Orgánica del Poder Ejecutivo del Estado de Oaxaca.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9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7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30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31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C56E7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 en términos del Capitulo V del Título Octavo de la ley de Desarrollo Forestal Sustentable del Estado de Oaxaca.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64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Departamentos de: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Fomento Forestal, Restauración Forestal, Planeación Forestal y Protección y Vigilancia Forestal.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7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Departamento Jurídico/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Unidad de Transparencia.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95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E06C5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E06C5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40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4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Es competencia de la Secretaria de Administración del Gobierno del Estado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Art. 46, fracción VI, de la Ley Orgánica del Poder Ejecutivo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2E7D0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 homologación y estandarización de la información, </w:t>
            </w:r>
            <w:r w:rsidRPr="00C93A52">
              <w:rPr>
                <w:rFonts w:ascii="Arial" w:hAnsi="Arial" w:cs="Arial"/>
                <w:sz w:val="16"/>
                <w:szCs w:val="30"/>
                <w:shd w:val="clear" w:color="auto" w:fill="FFFFFF"/>
              </w:rPr>
              <w:t>www.</w:t>
            </w:r>
            <w:r w:rsidRPr="00C93A52">
              <w:rPr>
                <w:rFonts w:ascii="Arial" w:hAnsi="Arial" w:cs="Arial"/>
                <w:b/>
                <w:bCs/>
                <w:sz w:val="16"/>
                <w:szCs w:val="30"/>
                <w:shd w:val="clear" w:color="auto" w:fill="FFFFFF"/>
              </w:rPr>
              <w:t>administracion</w:t>
            </w:r>
            <w:r w:rsidRPr="00C93A52">
              <w:rPr>
                <w:rFonts w:ascii="Arial" w:hAnsi="Arial" w:cs="Arial"/>
                <w:sz w:val="16"/>
                <w:szCs w:val="30"/>
                <w:shd w:val="clear" w:color="auto" w:fill="FFFFFF"/>
              </w:rPr>
              <w:t>.oaxaca.gob.mx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Corresponde a la Secretaría de Finanzas, formular los proyectos anuales de la Ley de Ingresos y el Presupuesto de Egresos del</w:t>
            </w: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Gobierno del Estado.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Art. 45, fracción X, de la Ley Orgánica del Poder Ejecutivo del Estado de Oaxaca.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 homologación y estandarización de la información </w:t>
            </w:r>
            <w:r w:rsidRPr="00C93A52">
              <w:rPr>
                <w:rFonts w:ascii="Helvetica" w:eastAsia="Times New Roman" w:hAnsi="Helvetica" w:cs="Helvetica"/>
                <w:sz w:val="8"/>
                <w:szCs w:val="18"/>
                <w:lang w:eastAsia="es-MX"/>
              </w:rPr>
              <w:t>(</w:t>
            </w:r>
            <w:r w:rsidRPr="00C93A52">
              <w:rPr>
                <w:rFonts w:ascii="Arial" w:hAnsi="Arial" w:cs="Arial"/>
                <w:sz w:val="18"/>
                <w:szCs w:val="30"/>
                <w:shd w:val="clear" w:color="auto" w:fill="FFFFFF"/>
              </w:rPr>
              <w:t>www.</w:t>
            </w:r>
            <w:r w:rsidRPr="00C93A52">
              <w:rPr>
                <w:rFonts w:ascii="Arial" w:hAnsi="Arial" w:cs="Arial"/>
                <w:bCs/>
                <w:sz w:val="18"/>
                <w:szCs w:val="30"/>
                <w:shd w:val="clear" w:color="auto" w:fill="FFFFFF"/>
              </w:rPr>
              <w:t>finanzas</w:t>
            </w:r>
            <w:r w:rsidRPr="00C93A52">
              <w:rPr>
                <w:rFonts w:ascii="Arial" w:hAnsi="Arial" w:cs="Arial"/>
                <w:sz w:val="18"/>
                <w:szCs w:val="30"/>
                <w:shd w:val="clear" w:color="auto" w:fill="FFFFFF"/>
              </w:rPr>
              <w:t>.</w:t>
            </w:r>
            <w:r w:rsidRPr="00C93A52">
              <w:rPr>
                <w:rFonts w:ascii="Arial" w:hAnsi="Arial" w:cs="Arial"/>
                <w:bCs/>
                <w:sz w:val="18"/>
                <w:szCs w:val="30"/>
                <w:shd w:val="clear" w:color="auto" w:fill="FFFFFF"/>
              </w:rPr>
              <w:t>oaxaca</w:t>
            </w:r>
            <w:r w:rsidRPr="00C93A52">
              <w:rPr>
                <w:rFonts w:ascii="Arial" w:hAnsi="Arial" w:cs="Arial"/>
                <w:sz w:val="18"/>
                <w:szCs w:val="30"/>
                <w:shd w:val="clear" w:color="auto" w:fill="FFFFFF"/>
              </w:rPr>
              <w:t>.gob.mx)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4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4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89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30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lastRenderedPageBreak/>
              <w:t>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En virtud que en las facultades de este Organismo no se encuentra ninguna disposición que establezca sobre el rubro señalado, siendo que dicha fracción va encaminada a instituciones encargadas a la impartición de justicia.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Artículo 2 de la Ley de Desarrollo Forestal Sustentable del Estado de Oaxaca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Hasta el momento no se ha realizado ninguna solicitud para la intervención de comunicaciones privadas.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  <w:tr w:rsidR="00C93A52" w:rsidRPr="00C93A52" w:rsidTr="00C93A52">
        <w:trPr>
          <w:trHeight w:val="12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93A52"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i/>
                <w:iCs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93A5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b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</w:p>
          <w:p w:rsidR="00BF6773" w:rsidRPr="00C93A52" w:rsidRDefault="00BF6773" w:rsidP="005038B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73" w:rsidRPr="00C93A52" w:rsidRDefault="00BF6773" w:rsidP="00C93A52">
            <w:pPr>
              <w:jc w:val="center"/>
            </w:pPr>
            <w:r w:rsidRPr="00C93A52">
              <w:rPr>
                <w:rFonts w:ascii="Helvetica" w:eastAsia="Times New Roman" w:hAnsi="Helvetica" w:cs="Helvetica"/>
                <w:sz w:val="18"/>
                <w:szCs w:val="18"/>
                <w:lang w:eastAsia="es-MX"/>
              </w:rPr>
              <w:t>VALIDADA</w:t>
            </w:r>
          </w:p>
        </w:tc>
      </w:tr>
    </w:tbl>
    <w:p w:rsidR="00B03C0D" w:rsidRPr="00C93A52" w:rsidRDefault="00B03C0D" w:rsidP="005038B4">
      <w:pPr>
        <w:tabs>
          <w:tab w:val="left" w:pos="285"/>
        </w:tabs>
        <w:jc w:val="both"/>
        <w:rPr>
          <w:rFonts w:ascii="Helvetica" w:hAnsi="Helvetica" w:cs="Helvetica"/>
          <w:b/>
          <w:sz w:val="18"/>
          <w:szCs w:val="18"/>
        </w:rPr>
      </w:pPr>
    </w:p>
    <w:p w:rsidR="00C93A52" w:rsidRPr="00C93A52" w:rsidRDefault="00C93A52" w:rsidP="00C93A52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C93A52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93A52" w:rsidRPr="00C93A52" w:rsidRDefault="00C93A52" w:rsidP="00C93A52">
      <w:pPr>
        <w:jc w:val="right"/>
        <w:rPr>
          <w:b/>
          <w:i/>
          <w:sz w:val="18"/>
          <w:szCs w:val="18"/>
        </w:rPr>
      </w:pPr>
      <w:r w:rsidRPr="00C93A52">
        <w:t xml:space="preserve">Oaxaca de Juárez </w:t>
      </w:r>
      <w:proofErr w:type="spellStart"/>
      <w:r w:rsidRPr="00C93A52">
        <w:t>Oax</w:t>
      </w:r>
      <w:proofErr w:type="spellEnd"/>
      <w:r w:rsidRPr="00C93A52">
        <w:t>., dieciocho  de enero  de dos mil diecisiete.</w:t>
      </w:r>
    </w:p>
    <w:p w:rsidR="00C93A52" w:rsidRPr="00C93A52" w:rsidRDefault="00C93A52" w:rsidP="00C93A52">
      <w:pPr>
        <w:jc w:val="center"/>
        <w:rPr>
          <w:sz w:val="24"/>
          <w:szCs w:val="24"/>
        </w:rPr>
      </w:pPr>
      <w:r w:rsidRPr="00C93A52">
        <w:t xml:space="preserve">ELABORÓ                                                                                                                                               </w:t>
      </w:r>
      <w:proofErr w:type="spellStart"/>
      <w:r w:rsidRPr="00C93A52">
        <w:t>Vo</w:t>
      </w:r>
      <w:proofErr w:type="spellEnd"/>
      <w:r w:rsidRPr="00C93A52">
        <w:t>. Bo.</w:t>
      </w:r>
      <w:bookmarkStart w:id="0" w:name="_GoBack"/>
      <w:bookmarkEnd w:id="0"/>
    </w:p>
    <w:p w:rsidR="00C93A52" w:rsidRPr="00C93A52" w:rsidRDefault="00C93A52" w:rsidP="00C93A52">
      <w:pPr>
        <w:jc w:val="center"/>
      </w:pPr>
    </w:p>
    <w:p w:rsidR="00C93A52" w:rsidRPr="00C93A52" w:rsidRDefault="00C93A52" w:rsidP="00C93A52">
      <w:pPr>
        <w:jc w:val="center"/>
        <w:rPr>
          <w:b/>
          <w:sz w:val="18"/>
          <w:szCs w:val="18"/>
        </w:rPr>
      </w:pPr>
      <w:r w:rsidRPr="00C93A52">
        <w:t>LIC. THOMAS AGUILAR MENDOZA</w:t>
      </w:r>
      <w:r w:rsidRPr="00C93A52">
        <w:tab/>
      </w:r>
      <w:r w:rsidRPr="00C93A52">
        <w:tab/>
      </w:r>
      <w:r w:rsidRPr="00C93A52">
        <w:tab/>
        <w:t xml:space="preserve">                                                     LIC.  RICARDO DORANTES JIMENEZ</w:t>
      </w:r>
    </w:p>
    <w:p w:rsidR="00BA0013" w:rsidRPr="00C93A52" w:rsidRDefault="00BA0013" w:rsidP="005038B4">
      <w:pPr>
        <w:tabs>
          <w:tab w:val="left" w:pos="285"/>
        </w:tabs>
        <w:jc w:val="both"/>
        <w:rPr>
          <w:rFonts w:ascii="Helvetica" w:hAnsi="Helvetica" w:cs="Helvetica"/>
          <w:b/>
          <w:sz w:val="18"/>
          <w:szCs w:val="18"/>
        </w:rPr>
      </w:pPr>
    </w:p>
    <w:sectPr w:rsidR="00BA0013" w:rsidRPr="00C93A52" w:rsidSect="00436917">
      <w:headerReference w:type="default" r:id="rId7"/>
      <w:footerReference w:type="default" r:id="rId8"/>
      <w:pgSz w:w="15840" w:h="12240" w:orient="landscape"/>
      <w:pgMar w:top="1418" w:right="1134" w:bottom="1276" w:left="1134" w:header="425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3B" w:rsidRDefault="00A97F3B" w:rsidP="00227010">
      <w:pPr>
        <w:spacing w:after="0" w:line="240" w:lineRule="auto"/>
      </w:pPr>
      <w:r>
        <w:separator/>
      </w:r>
    </w:p>
  </w:endnote>
  <w:endnote w:type="continuationSeparator" w:id="0">
    <w:p w:rsidR="00A97F3B" w:rsidRDefault="00A97F3B" w:rsidP="0022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14842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5038B4" w:rsidRPr="00BF2D1A" w:rsidRDefault="00DF2FC1">
        <w:pPr>
          <w:pStyle w:val="Piedepgina"/>
          <w:jc w:val="right"/>
          <w:rPr>
            <w:rFonts w:ascii="Arial" w:hAnsi="Arial" w:cs="Arial"/>
            <w:b/>
            <w:sz w:val="20"/>
          </w:rPr>
        </w:pPr>
        <w:r w:rsidRPr="00BF2D1A">
          <w:rPr>
            <w:rFonts w:ascii="Arial" w:hAnsi="Arial" w:cs="Arial"/>
            <w:b/>
            <w:sz w:val="20"/>
          </w:rPr>
          <w:fldChar w:fldCharType="begin"/>
        </w:r>
        <w:r w:rsidR="005038B4" w:rsidRPr="00BF2D1A">
          <w:rPr>
            <w:rFonts w:ascii="Arial" w:hAnsi="Arial" w:cs="Arial"/>
            <w:b/>
            <w:sz w:val="20"/>
          </w:rPr>
          <w:instrText>PAGE   \* MERGEFORMAT</w:instrText>
        </w:r>
        <w:r w:rsidRPr="00BF2D1A">
          <w:rPr>
            <w:rFonts w:ascii="Arial" w:hAnsi="Arial" w:cs="Arial"/>
            <w:b/>
            <w:sz w:val="20"/>
          </w:rPr>
          <w:fldChar w:fldCharType="separate"/>
        </w:r>
        <w:r w:rsidR="00C93A52" w:rsidRPr="00C93A52">
          <w:rPr>
            <w:rFonts w:ascii="Arial" w:hAnsi="Arial" w:cs="Arial"/>
            <w:b/>
            <w:noProof/>
            <w:sz w:val="20"/>
            <w:lang w:val="es-ES"/>
          </w:rPr>
          <w:t>13</w:t>
        </w:r>
        <w:r w:rsidRPr="00BF2D1A">
          <w:rPr>
            <w:rFonts w:ascii="Arial" w:hAnsi="Arial" w:cs="Arial"/>
            <w:b/>
            <w:sz w:val="20"/>
          </w:rPr>
          <w:fldChar w:fldCharType="end"/>
        </w:r>
      </w:p>
    </w:sdtContent>
  </w:sdt>
  <w:tbl>
    <w:tblPr>
      <w:tblStyle w:val="Tablaconcuadrcula"/>
      <w:tblW w:w="0" w:type="auto"/>
      <w:jc w:val="center"/>
      <w:tblBorders>
        <w:top w:val="none" w:sz="0" w:space="0" w:color="auto"/>
        <w:left w:val="single" w:sz="24" w:space="0" w:color="C79A04"/>
        <w:bottom w:val="none" w:sz="0" w:space="0" w:color="auto"/>
        <w:right w:val="none" w:sz="0" w:space="0" w:color="auto"/>
        <w:insideV w:val="single" w:sz="24" w:space="0" w:color="C79A04"/>
      </w:tblBorders>
      <w:tblLayout w:type="fixed"/>
      <w:tblLook w:val="04A0" w:firstRow="1" w:lastRow="0" w:firstColumn="1" w:lastColumn="0" w:noHBand="0" w:noVBand="1"/>
    </w:tblPr>
    <w:tblGrid>
      <w:gridCol w:w="7258"/>
      <w:gridCol w:w="1796"/>
    </w:tblGrid>
    <w:tr w:rsidR="005038B4" w:rsidTr="00BF2D1A">
      <w:trPr>
        <w:trHeight w:hRule="exact" w:val="397"/>
        <w:jc w:val="center"/>
      </w:trPr>
      <w:tc>
        <w:tcPr>
          <w:tcW w:w="7258" w:type="dxa"/>
          <w:vAlign w:val="center"/>
        </w:tcPr>
        <w:p w:rsidR="005038B4" w:rsidRPr="00BD230D" w:rsidRDefault="005038B4" w:rsidP="00BF2D1A">
          <w:pPr>
            <w:pStyle w:val="Piedepgina"/>
            <w:jc w:val="center"/>
            <w:rPr>
              <w:rFonts w:ascii="Helvetica" w:hAnsi="Helvetica" w:cs="Helvetica"/>
              <w:sz w:val="16"/>
              <w:szCs w:val="16"/>
            </w:rPr>
          </w:pPr>
          <w:r w:rsidRPr="00BD230D">
            <w:rPr>
              <w:rFonts w:ascii="Helvetica" w:hAnsi="Helvetica" w:cs="Helvetica"/>
              <w:sz w:val="16"/>
              <w:szCs w:val="16"/>
            </w:rPr>
            <w:t>Centro Administrativo y Judicial, Edificio F</w:t>
          </w:r>
          <w:r>
            <w:rPr>
              <w:rFonts w:ascii="Helvetica" w:hAnsi="Helvetica" w:cs="Helvetica"/>
              <w:sz w:val="16"/>
              <w:szCs w:val="16"/>
            </w:rPr>
            <w:t xml:space="preserve">, Primer Nivel, Segundo Piso, </w:t>
          </w:r>
          <w:r w:rsidRPr="00BD230D">
            <w:rPr>
              <w:rFonts w:ascii="Helvetica" w:hAnsi="Helvetica" w:cs="Helvetica"/>
              <w:sz w:val="16"/>
              <w:szCs w:val="16"/>
            </w:rPr>
            <w:t xml:space="preserve">Av. Gerardo </w:t>
          </w:r>
          <w:proofErr w:type="spellStart"/>
          <w:r w:rsidRPr="00BD230D">
            <w:rPr>
              <w:rFonts w:ascii="Helvetica" w:hAnsi="Helvetica" w:cs="Helvetica"/>
              <w:sz w:val="16"/>
              <w:szCs w:val="16"/>
            </w:rPr>
            <w:t>PandalGraff</w:t>
          </w:r>
          <w:proofErr w:type="spellEnd"/>
          <w:r w:rsidRPr="00BD230D">
            <w:rPr>
              <w:rFonts w:ascii="Helvetica" w:hAnsi="Helvetica" w:cs="Helvetica"/>
              <w:sz w:val="16"/>
              <w:szCs w:val="16"/>
            </w:rPr>
            <w:t xml:space="preserve">, Núm. 1, Reyes Mantecón, San Bartolo </w:t>
          </w:r>
          <w:proofErr w:type="spellStart"/>
          <w:r w:rsidRPr="00BD230D">
            <w:rPr>
              <w:rFonts w:ascii="Helvetica" w:hAnsi="Helvetica" w:cs="Helvetica"/>
              <w:sz w:val="16"/>
              <w:szCs w:val="16"/>
            </w:rPr>
            <w:t>Coyotepec</w:t>
          </w:r>
          <w:proofErr w:type="spellEnd"/>
          <w:r w:rsidRPr="00BD230D">
            <w:rPr>
              <w:rFonts w:ascii="Helvetica" w:hAnsi="Helvetica" w:cs="Helvetica"/>
              <w:sz w:val="16"/>
              <w:szCs w:val="16"/>
            </w:rPr>
            <w:t xml:space="preserve"> </w:t>
          </w:r>
          <w:r>
            <w:rPr>
              <w:rFonts w:ascii="Helvetica" w:hAnsi="Helvetica" w:cs="Helvetica"/>
              <w:sz w:val="16"/>
              <w:szCs w:val="16"/>
            </w:rPr>
            <w:t>,</w:t>
          </w:r>
          <w:r w:rsidRPr="00BD230D">
            <w:rPr>
              <w:rFonts w:ascii="Helvetica" w:hAnsi="Helvetica" w:cs="Helvetica"/>
              <w:sz w:val="16"/>
              <w:szCs w:val="16"/>
            </w:rPr>
            <w:t>Oaxaca, C.P. 71257</w:t>
          </w:r>
        </w:p>
        <w:p w:rsidR="005038B4" w:rsidRDefault="005038B4" w:rsidP="00BF2D1A">
          <w:pPr>
            <w:pStyle w:val="Piedepgina"/>
            <w:jc w:val="center"/>
            <w:rPr>
              <w:rFonts w:ascii="Helvetica" w:hAnsi="Helvetica" w:cs="Helvetica"/>
              <w:b/>
              <w:sz w:val="16"/>
              <w:szCs w:val="16"/>
            </w:rPr>
          </w:pPr>
        </w:p>
        <w:p w:rsidR="005038B4" w:rsidRDefault="005038B4" w:rsidP="00BF2D1A">
          <w:pPr>
            <w:pStyle w:val="Piedepgina"/>
            <w:jc w:val="center"/>
            <w:rPr>
              <w:rFonts w:ascii="Helvetica" w:hAnsi="Helvetica" w:cs="Helvetica"/>
              <w:b/>
              <w:sz w:val="16"/>
              <w:szCs w:val="16"/>
            </w:rPr>
          </w:pPr>
        </w:p>
        <w:p w:rsidR="005038B4" w:rsidRDefault="005038B4" w:rsidP="00BF2D1A">
          <w:pPr>
            <w:pStyle w:val="Piedepgina"/>
            <w:jc w:val="center"/>
            <w:rPr>
              <w:rFonts w:ascii="Helvetica" w:hAnsi="Helvetica" w:cs="Helvetica"/>
              <w:b/>
              <w:sz w:val="16"/>
              <w:szCs w:val="16"/>
            </w:rPr>
          </w:pPr>
        </w:p>
      </w:tc>
      <w:tc>
        <w:tcPr>
          <w:tcW w:w="1796" w:type="dxa"/>
        </w:tcPr>
        <w:p w:rsidR="005038B4" w:rsidRPr="008D6D42" w:rsidRDefault="005038B4" w:rsidP="00BF2D1A">
          <w:pPr>
            <w:pStyle w:val="Piedepgina"/>
            <w:jc w:val="center"/>
            <w:rPr>
              <w:rFonts w:ascii="Helvetica" w:hAnsi="Helvetica" w:cs="Helvetica"/>
              <w:sz w:val="16"/>
              <w:szCs w:val="16"/>
            </w:rPr>
          </w:pPr>
          <w:r w:rsidRPr="008D6D42">
            <w:rPr>
              <w:rFonts w:ascii="Helvetica" w:hAnsi="Helvetica" w:cs="Helvetica"/>
              <w:sz w:val="16"/>
              <w:szCs w:val="16"/>
            </w:rPr>
            <w:t>Tel. (951) 5016900 Ext. 25271</w:t>
          </w:r>
        </w:p>
      </w:tc>
    </w:tr>
  </w:tbl>
  <w:p w:rsidR="005038B4" w:rsidRPr="00BD230D" w:rsidRDefault="005038B4" w:rsidP="007823B2">
    <w:pPr>
      <w:pStyle w:val="Piedepgina"/>
      <w:rPr>
        <w:rFonts w:ascii="Helvetica" w:hAnsi="Helvetica" w:cs="Helvetic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3B" w:rsidRDefault="00A97F3B" w:rsidP="00227010">
      <w:pPr>
        <w:spacing w:after="0" w:line="240" w:lineRule="auto"/>
      </w:pPr>
      <w:r>
        <w:separator/>
      </w:r>
    </w:p>
  </w:footnote>
  <w:footnote w:type="continuationSeparator" w:id="0">
    <w:p w:rsidR="00A97F3B" w:rsidRDefault="00A97F3B" w:rsidP="0022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4" w:rsidRDefault="005038B4" w:rsidP="00E722B4">
    <w:pPr>
      <w:rPr>
        <w:rFonts w:ascii="Helvetica" w:hAnsi="Helvetica" w:cs="Helvetica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8048625</wp:posOffset>
          </wp:positionH>
          <wp:positionV relativeFrom="paragraph">
            <wp:posOffset>-137160</wp:posOffset>
          </wp:positionV>
          <wp:extent cx="759460" cy="718820"/>
          <wp:effectExtent l="0" t="0" r="0" b="0"/>
          <wp:wrapThrough wrapText="bothSides">
            <wp:wrapPolygon edited="0">
              <wp:start x="16796" y="1717"/>
              <wp:lineTo x="4334" y="2862"/>
              <wp:lineTo x="1625" y="10876"/>
              <wp:lineTo x="4334" y="12021"/>
              <wp:lineTo x="2167" y="14883"/>
              <wp:lineTo x="1625" y="16601"/>
              <wp:lineTo x="2167" y="20035"/>
              <wp:lineTo x="12462" y="20035"/>
              <wp:lineTo x="18421" y="18890"/>
              <wp:lineTo x="19505" y="16028"/>
              <wp:lineTo x="16796" y="12021"/>
              <wp:lineTo x="19505" y="12021"/>
              <wp:lineTo x="19505" y="1717"/>
              <wp:lineTo x="16796" y="1717"/>
            </wp:wrapPolygon>
          </wp:wrapThrough>
          <wp:docPr id="7" name="Imagen 7" descr="C:\Users\forestal\Documents\ComisiónForestal\Planeacion.Forestal\PaginaOfficial\LogosOficiales\GENERANDOBIENESTAR\PNG\COLOR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restal\Documents\ComisiónForestal\Planeacion.Forestal\PaginaOfficial\LogosOficiales\GENERANDOBIENESTAR\PNG\COLO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b/>
        <w:noProof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-149670</wp:posOffset>
          </wp:positionH>
          <wp:positionV relativeFrom="paragraph">
            <wp:posOffset>-172085</wp:posOffset>
          </wp:positionV>
          <wp:extent cx="1685925" cy="791210"/>
          <wp:effectExtent l="0" t="0" r="0" b="0"/>
          <wp:wrapThrough wrapText="bothSides">
            <wp:wrapPolygon edited="0">
              <wp:start x="3905" y="2080"/>
              <wp:lineTo x="2197" y="6761"/>
              <wp:lineTo x="2441" y="11441"/>
              <wp:lineTo x="1464" y="15602"/>
              <wp:lineTo x="1220" y="19242"/>
              <wp:lineTo x="20502" y="19242"/>
              <wp:lineTo x="20014" y="10401"/>
              <wp:lineTo x="13668" y="5721"/>
              <wp:lineTo x="7810" y="2080"/>
              <wp:lineTo x="3905" y="2080"/>
            </wp:wrapPolygon>
          </wp:wrapThrough>
          <wp:docPr id="6" name="Imagen 6" descr="C:\Users\forestal\Documents\ComisiónForestal\Planeacion.Forestal\PaginaOfficial\LogosOficiales\COMISION ESTATAL FORESTAL\PNG\COLO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estal\Documents\ComisiónForestal\Planeacion.Forestal\PaginaOfficial\LogosOficiales\COMISION ESTATAL FORESTAL\PNG\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38B4" w:rsidRDefault="00C93A52" w:rsidP="00E722B4">
    <w:pPr>
      <w:spacing w:line="360" w:lineRule="auto"/>
      <w:jc w:val="center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b/>
        <w:noProof/>
        <w:sz w:val="16"/>
        <w:szCs w:val="16"/>
        <w:lang w:eastAsia="es-MX"/>
      </w:rPr>
      <w:pict>
        <v:group id="13 Grupo" o:spid="_x0000_s6145" style="position:absolute;left:0;text-align:left;margin-left:-22.9pt;margin-top:21.45pt;width:722.45pt;height:22.9pt;z-index:251661312;mso-position-horizontal-relative:margin;mso-width-relative:margin;mso-height-relative:margin" coordsize="70491,0" wrapcoords="-45 -697 -45 0 21645 0 21645 -697 -4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">
          <v:line id="4 Conector recto" o:spid="_x0000_s6148" style="position:absolute;visibility:visible" from="0,0" to="25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OEsUAAADaAAAADwAAAGRycy9kb3ducmV2LnhtbESPT2sCMRTE70K/Q3iFXkSzSv3TrVFU&#10;KtiTVffi7bF53V26eVk3qcZvb4RCj8PM/IaZLYKpxYVaV1lWMOgnIIhzqysuFGTHTW8KwnlkjbVl&#10;UnAjB4v5U2eGqbZX3tPl4AsRIexSVFB636RSurwkg65vG+LofdvWoI+yLaRu8RrhppbDJBlLgxXH&#10;hRIbWpeU/xx+jYKwOo3fvj6r7DwYZR9hbXd5d7JT6uU5LN9BeAr+P/zX3moFr/C4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OEsUAAADaAAAADwAAAAAAAAAA&#10;AAAAAAChAgAAZHJzL2Rvd25yZXYueG1sUEsFBgAAAAAEAAQA+QAAAJMDAAAAAA==&#10;" strokecolor="#704c23" strokeweight="2pt">
            <v:stroke joinstyle="bevel" endcap="square"/>
          </v:line>
          <v:line id="8 Conector recto" o:spid="_x0000_s6147" style="position:absolute;visibility:visible" from="26289,0" to="442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/kr0AAADaAAAADwAAAGRycy9kb3ducmV2LnhtbERPS4vCMBC+C/sfwgh701QFka5p2V1Q&#10;evV1H5rZttqZlCZq119vDoLHj++9zgdu1Y163zgxMJsmoEhKZxupDBwPm8kKlA8oFlsnZOCfPOTZ&#10;x2iNqXV32dFtHyoVQ8SnaKAOoUu19mVNjH7qOpLI/bmeMUTYV9r2eI/h3Op5kiw1YyOxocaOfmsq&#10;L/srGwjzxXl1WjA/tlyUtnA/w3a5M+ZzPHx/gQo0hLf45S6sgbg1Xok3QG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fu/5K9AAAA2gAAAA8AAAAAAAAAAAAAAAAAoQIA&#10;AGRycy9kb3ducmV2LnhtbFBLBQYAAAAABAAEAPkAAACLAwAAAAA=&#10;" strokecolor="#c79a04" strokeweight="2pt">
            <v:stroke joinstyle="bevel" endcap="square"/>
          </v:line>
          <v:line id="10 Conector recto" o:spid="_x0000_s6146" style="position:absolute;visibility:visible" from="44577,0" to="704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cisYAAADbAAAADwAAAGRycy9kb3ducmV2LnhtbESPT2/CMAzF75P4DpGRuEwjBWmwdQQ0&#10;0CaxE3/Wy25W47XVGqdrAmTfHh8mcbP1nt/7ebFKrlVn6kPj2cBknIEiLr1tuDJQfL4/PIEKEdli&#10;65kM/FGA1XJwt8Dc+gsf6HyMlZIQDjkaqGPscq1DWZPDMPYdsWjfvncYZe0rbXu8SLhr9TTLZtph&#10;w9JQY0ebmsqf48kZSOuv2fP+oyl+J4/FW9r4XXk/3xkzGqbXF1CRUryZ/6+3VvCFXn6RA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I3IrGAAAA2wAAAA8AAAAAAAAA&#10;AAAAAAAAoQIAAGRycy9kb3ducmV2LnhtbFBLBQYAAAAABAAEAPkAAACUAwAAAAA=&#10;" strokecolor="#704c23" strokeweight="2pt">
            <v:stroke joinstyle="bevel" endcap="square"/>
          </v:line>
          <w10:wrap type="through" anchorx="margin"/>
        </v:group>
      </w:pict>
    </w:r>
  </w:p>
  <w:p w:rsidR="005038B4" w:rsidRPr="00476FC2" w:rsidRDefault="005038B4" w:rsidP="00227010">
    <w:pPr>
      <w:spacing w:after="0" w:line="240" w:lineRule="auto"/>
      <w:jc w:val="center"/>
      <w:rPr>
        <w:rFonts w:ascii="Helvetica" w:hAnsi="Helvetica" w:cs="Helvetica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10"/>
    <w:rsid w:val="000503D3"/>
    <w:rsid w:val="000522FB"/>
    <w:rsid w:val="00053B92"/>
    <w:rsid w:val="000743BF"/>
    <w:rsid w:val="000E43AC"/>
    <w:rsid w:val="00104816"/>
    <w:rsid w:val="00152307"/>
    <w:rsid w:val="00181651"/>
    <w:rsid w:val="0018427B"/>
    <w:rsid w:val="00191B2D"/>
    <w:rsid w:val="001A41D1"/>
    <w:rsid w:val="001A65DC"/>
    <w:rsid w:val="001A74D2"/>
    <w:rsid w:val="001C02E7"/>
    <w:rsid w:val="001C4EB0"/>
    <w:rsid w:val="00227010"/>
    <w:rsid w:val="002337C6"/>
    <w:rsid w:val="00233B71"/>
    <w:rsid w:val="0026337E"/>
    <w:rsid w:val="0026476E"/>
    <w:rsid w:val="002B05FE"/>
    <w:rsid w:val="002E15DB"/>
    <w:rsid w:val="002E7D06"/>
    <w:rsid w:val="002F1BF3"/>
    <w:rsid w:val="002F4288"/>
    <w:rsid w:val="0030290B"/>
    <w:rsid w:val="00330C9D"/>
    <w:rsid w:val="00354A06"/>
    <w:rsid w:val="00357E41"/>
    <w:rsid w:val="003C1979"/>
    <w:rsid w:val="00403EFD"/>
    <w:rsid w:val="00413AB1"/>
    <w:rsid w:val="00436917"/>
    <w:rsid w:val="004533A2"/>
    <w:rsid w:val="00453C87"/>
    <w:rsid w:val="004717B3"/>
    <w:rsid w:val="004A135D"/>
    <w:rsid w:val="004F5AE0"/>
    <w:rsid w:val="00501117"/>
    <w:rsid w:val="005038B4"/>
    <w:rsid w:val="005273AA"/>
    <w:rsid w:val="005413E7"/>
    <w:rsid w:val="0055268A"/>
    <w:rsid w:val="00584724"/>
    <w:rsid w:val="005B2614"/>
    <w:rsid w:val="005B5255"/>
    <w:rsid w:val="005F5787"/>
    <w:rsid w:val="0061774E"/>
    <w:rsid w:val="00673BDA"/>
    <w:rsid w:val="00695748"/>
    <w:rsid w:val="006B091C"/>
    <w:rsid w:val="007356D7"/>
    <w:rsid w:val="00754D01"/>
    <w:rsid w:val="00757D93"/>
    <w:rsid w:val="007658CB"/>
    <w:rsid w:val="00765FE9"/>
    <w:rsid w:val="007823B2"/>
    <w:rsid w:val="007875DB"/>
    <w:rsid w:val="007B0173"/>
    <w:rsid w:val="007D5DD3"/>
    <w:rsid w:val="007F38D9"/>
    <w:rsid w:val="008302B4"/>
    <w:rsid w:val="008436B3"/>
    <w:rsid w:val="0085336B"/>
    <w:rsid w:val="008648E9"/>
    <w:rsid w:val="00877FAB"/>
    <w:rsid w:val="008B7489"/>
    <w:rsid w:val="008F42F1"/>
    <w:rsid w:val="0092430D"/>
    <w:rsid w:val="00944D5D"/>
    <w:rsid w:val="009B11D6"/>
    <w:rsid w:val="009B5A61"/>
    <w:rsid w:val="009C383E"/>
    <w:rsid w:val="009C4A54"/>
    <w:rsid w:val="009D6EA1"/>
    <w:rsid w:val="00A20342"/>
    <w:rsid w:val="00A21BE4"/>
    <w:rsid w:val="00A23582"/>
    <w:rsid w:val="00A622C9"/>
    <w:rsid w:val="00A9155C"/>
    <w:rsid w:val="00A97F3B"/>
    <w:rsid w:val="00AA0D64"/>
    <w:rsid w:val="00B0143D"/>
    <w:rsid w:val="00B03C0D"/>
    <w:rsid w:val="00B46DB4"/>
    <w:rsid w:val="00B57334"/>
    <w:rsid w:val="00B92505"/>
    <w:rsid w:val="00B937BE"/>
    <w:rsid w:val="00B94C2C"/>
    <w:rsid w:val="00BA0013"/>
    <w:rsid w:val="00BC0E33"/>
    <w:rsid w:val="00BC0F5A"/>
    <w:rsid w:val="00BC33AB"/>
    <w:rsid w:val="00BD4516"/>
    <w:rsid w:val="00BF2D1A"/>
    <w:rsid w:val="00BF2DF1"/>
    <w:rsid w:val="00BF6773"/>
    <w:rsid w:val="00C12A5D"/>
    <w:rsid w:val="00C21BC6"/>
    <w:rsid w:val="00C26070"/>
    <w:rsid w:val="00C26E63"/>
    <w:rsid w:val="00C37A35"/>
    <w:rsid w:val="00C56E70"/>
    <w:rsid w:val="00C66409"/>
    <w:rsid w:val="00C93A52"/>
    <w:rsid w:val="00CD426A"/>
    <w:rsid w:val="00CD4FC3"/>
    <w:rsid w:val="00CE388B"/>
    <w:rsid w:val="00CE76FE"/>
    <w:rsid w:val="00CF6B03"/>
    <w:rsid w:val="00D01080"/>
    <w:rsid w:val="00D0605B"/>
    <w:rsid w:val="00D06109"/>
    <w:rsid w:val="00D178D1"/>
    <w:rsid w:val="00D41B24"/>
    <w:rsid w:val="00D515D7"/>
    <w:rsid w:val="00D62B98"/>
    <w:rsid w:val="00D87678"/>
    <w:rsid w:val="00DD1676"/>
    <w:rsid w:val="00DD7B67"/>
    <w:rsid w:val="00DF29DE"/>
    <w:rsid w:val="00DF2FC1"/>
    <w:rsid w:val="00DF5C82"/>
    <w:rsid w:val="00DF6782"/>
    <w:rsid w:val="00E06C5C"/>
    <w:rsid w:val="00E110FB"/>
    <w:rsid w:val="00E12498"/>
    <w:rsid w:val="00E60604"/>
    <w:rsid w:val="00E64D34"/>
    <w:rsid w:val="00E709CC"/>
    <w:rsid w:val="00E722B4"/>
    <w:rsid w:val="00F009C1"/>
    <w:rsid w:val="00F43758"/>
    <w:rsid w:val="00F46321"/>
    <w:rsid w:val="00F46828"/>
    <w:rsid w:val="00F63B24"/>
    <w:rsid w:val="00F66CF4"/>
    <w:rsid w:val="00F72B6D"/>
    <w:rsid w:val="00F77A49"/>
    <w:rsid w:val="00F848DC"/>
    <w:rsid w:val="00FB615D"/>
    <w:rsid w:val="00FB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7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010"/>
  </w:style>
  <w:style w:type="table" w:styleId="Tablaconcuadrcula">
    <w:name w:val="Table Grid"/>
    <w:basedOn w:val="Tablanormal"/>
    <w:uiPriority w:val="59"/>
    <w:rsid w:val="0022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010"/>
    <w:pPr>
      <w:ind w:left="720"/>
      <w:contextualSpacing/>
    </w:pPr>
  </w:style>
  <w:style w:type="paragraph" w:customStyle="1" w:styleId="Default">
    <w:name w:val="Default"/>
    <w:rsid w:val="00227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27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010"/>
  </w:style>
  <w:style w:type="paragraph" w:styleId="Textodeglobo">
    <w:name w:val="Balloon Text"/>
    <w:basedOn w:val="Normal"/>
    <w:link w:val="TextodegloboCar"/>
    <w:uiPriority w:val="99"/>
    <w:semiHidden/>
    <w:unhideWhenUsed/>
    <w:rsid w:val="00B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0D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C93A52"/>
    <w:pP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7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010"/>
  </w:style>
  <w:style w:type="table" w:styleId="Tablaconcuadrcula">
    <w:name w:val="Table Grid"/>
    <w:basedOn w:val="Tablanormal"/>
    <w:uiPriority w:val="59"/>
    <w:rsid w:val="0022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010"/>
    <w:pPr>
      <w:ind w:left="720"/>
      <w:contextualSpacing/>
    </w:pPr>
  </w:style>
  <w:style w:type="paragraph" w:customStyle="1" w:styleId="Default">
    <w:name w:val="Default"/>
    <w:rsid w:val="00227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27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010"/>
  </w:style>
  <w:style w:type="paragraph" w:styleId="Textodeglobo">
    <w:name w:val="Balloon Text"/>
    <w:basedOn w:val="Normal"/>
    <w:link w:val="TextodegloboCar"/>
    <w:uiPriority w:val="99"/>
    <w:semiHidden/>
    <w:unhideWhenUsed/>
    <w:rsid w:val="00B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2587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Dpto-Juridico</dc:creator>
  <cp:lastModifiedBy>Cotaipo</cp:lastModifiedBy>
  <cp:revision>18</cp:revision>
  <cp:lastPrinted>2017-01-17T23:08:00Z</cp:lastPrinted>
  <dcterms:created xsi:type="dcterms:W3CDTF">2016-08-15T17:04:00Z</dcterms:created>
  <dcterms:modified xsi:type="dcterms:W3CDTF">2017-01-17T23:08:00Z</dcterms:modified>
</cp:coreProperties>
</file>